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5AA1" w14:textId="62753C66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Musterbrief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für Unternehmen der Druckindustrie </w:t>
      </w:r>
      <w:r w:rsidR="00E74319">
        <w:rPr>
          <w:rFonts w:asciiTheme="minorHAnsi" w:eastAsia="Times New Roman" w:hAnsiTheme="minorHAnsi" w:cstheme="minorHAnsi"/>
          <w:sz w:val="22"/>
          <w:lang w:eastAsia="de-DE"/>
        </w:rPr>
        <w:t xml:space="preserve">und der Papierverarbeitung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zum Versand an Abgeordnete </w:t>
      </w:r>
      <w:r w:rsidR="0085101B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des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>Bundestag</w:t>
      </w:r>
      <w:r w:rsidR="0085101B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es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hyperlink r:id="rId5" w:history="1">
        <w:r w:rsidR="0085101B" w:rsidRPr="00CF7741">
          <w:rPr>
            <w:rStyle w:val="Hyperlink"/>
            <w:rFonts w:asciiTheme="minorHAnsi" w:eastAsia="Times New Roman" w:hAnsiTheme="minorHAnsi" w:cstheme="minorHAnsi"/>
            <w:sz w:val="22"/>
            <w:lang w:eastAsia="de-DE"/>
          </w:rPr>
          <w:t>https://www.bundestag.de/abgeordnete</w:t>
        </w:r>
      </w:hyperlink>
      <w:r w:rsidR="0085101B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oder </w:t>
      </w:r>
      <w:r w:rsidR="0085101B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des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>EU-Parlament</w:t>
      </w:r>
      <w:r w:rsidR="0085101B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s </w:t>
      </w:r>
      <w:hyperlink r:id="rId6" w:history="1">
        <w:r w:rsidR="0085101B" w:rsidRPr="00CF7741">
          <w:rPr>
            <w:rStyle w:val="Hyperlink"/>
            <w:rFonts w:asciiTheme="minorHAnsi" w:eastAsia="Times New Roman" w:hAnsiTheme="minorHAnsi" w:cstheme="minorHAnsi"/>
            <w:sz w:val="22"/>
            <w:lang w:eastAsia="de-DE"/>
          </w:rPr>
          <w:t>https://www.europarl.europa.eu/meps/de/search/advanced?name=&amp;euPoliticalGroupBodyRefNum=7018&amp;countryCode=DE&amp;bodyType=ALL</w:t>
        </w:r>
      </w:hyperlink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, um sich für eine </w:t>
      </w: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Verschiebung und grundlegende Überarbeitung der EU-Entwaldungsverordnung (EUDR)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einzusetzen:</w:t>
      </w:r>
    </w:p>
    <w:p w14:paraId="1CB4E054" w14:textId="77777777" w:rsidR="006504B0" w:rsidRPr="00CF7741" w:rsidRDefault="00000000" w:rsidP="006504B0">
      <w:pPr>
        <w:spacing w:after="0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>
        <w:rPr>
          <w:rFonts w:asciiTheme="minorHAnsi" w:eastAsia="Times New Roman" w:hAnsiTheme="minorHAnsi" w:cstheme="minorHAnsi"/>
          <w:sz w:val="22"/>
          <w:lang w:eastAsia="de-DE"/>
        </w:rPr>
        <w:pict w14:anchorId="1E5B5158">
          <v:rect id="_x0000_i1025" style="width:0;height:1.5pt" o:hralign="center" o:hrstd="t" o:hr="t" fillcolor="#a0a0a0" stroked="f"/>
        </w:pict>
      </w:r>
    </w:p>
    <w:p w14:paraId="620ECA82" w14:textId="6DB8F969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i/>
          <w:iCs/>
          <w:sz w:val="22"/>
          <w:lang w:eastAsia="de-DE"/>
        </w:rPr>
      </w:pPr>
      <w:r w:rsidRPr="00267DCF">
        <w:rPr>
          <w:rFonts w:asciiTheme="minorHAnsi" w:eastAsia="Times New Roman" w:hAnsiTheme="minorHAnsi" w:cstheme="minorHAnsi"/>
          <w:i/>
          <w:iCs/>
          <w:sz w:val="22"/>
          <w:highlight w:val="yellow"/>
          <w:lang w:eastAsia="de-DE"/>
        </w:rPr>
        <w:t>An: Mitglied des Europäischen Parlaments</w:t>
      </w:r>
      <w:r w:rsidR="0045437D">
        <w:rPr>
          <w:rFonts w:asciiTheme="minorHAnsi" w:eastAsia="Times New Roman" w:hAnsiTheme="minorHAnsi" w:cstheme="minorHAnsi"/>
          <w:i/>
          <w:iCs/>
          <w:sz w:val="22"/>
          <w:highlight w:val="yellow"/>
          <w:lang w:eastAsia="de-DE"/>
        </w:rPr>
        <w:t xml:space="preserve"> </w:t>
      </w:r>
      <w:r w:rsidRPr="00267DCF">
        <w:rPr>
          <w:rFonts w:asciiTheme="minorHAnsi" w:eastAsia="Times New Roman" w:hAnsiTheme="minorHAnsi" w:cstheme="minorHAnsi"/>
          <w:i/>
          <w:iCs/>
          <w:sz w:val="22"/>
          <w:highlight w:val="yellow"/>
          <w:lang w:eastAsia="de-DE"/>
        </w:rPr>
        <w:t xml:space="preserve">/ Mitglied des </w:t>
      </w:r>
      <w:r w:rsidR="007F7463">
        <w:rPr>
          <w:rFonts w:asciiTheme="minorHAnsi" w:eastAsia="Times New Roman" w:hAnsiTheme="minorHAnsi" w:cstheme="minorHAnsi"/>
          <w:i/>
          <w:iCs/>
          <w:sz w:val="22"/>
          <w:highlight w:val="yellow"/>
          <w:lang w:eastAsia="de-DE"/>
        </w:rPr>
        <w:t xml:space="preserve">Deutschen </w:t>
      </w:r>
      <w:r w:rsidRPr="00267DCF">
        <w:rPr>
          <w:rFonts w:asciiTheme="minorHAnsi" w:eastAsia="Times New Roman" w:hAnsiTheme="minorHAnsi" w:cstheme="minorHAnsi"/>
          <w:i/>
          <w:iCs/>
          <w:sz w:val="22"/>
          <w:highlight w:val="yellow"/>
          <w:lang w:eastAsia="de-DE"/>
        </w:rPr>
        <w:t>Bundestages</w:t>
      </w:r>
    </w:p>
    <w:p w14:paraId="73FE8131" w14:textId="0FE2FAEB" w:rsidR="00434F03" w:rsidRPr="00CF7741" w:rsidRDefault="00434F03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b/>
          <w:bCs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Betreff: EU-Entwaldungsverordnung (EUDR) – Bitte um Unterstützung</w:t>
      </w:r>
    </w:p>
    <w:p w14:paraId="6C7BCED1" w14:textId="560E9C19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267DCF">
        <w:rPr>
          <w:rFonts w:asciiTheme="minorHAnsi" w:eastAsia="Times New Roman" w:hAnsiTheme="minorHAnsi" w:cstheme="minorHAnsi"/>
          <w:sz w:val="22"/>
          <w:highlight w:val="yellow"/>
          <w:lang w:eastAsia="de-DE"/>
        </w:rPr>
        <w:t xml:space="preserve">Sehr geehrte/r Frau/Herr </w:t>
      </w:r>
      <w:r w:rsidR="00124AC4" w:rsidRPr="00267DCF">
        <w:rPr>
          <w:rFonts w:asciiTheme="minorHAnsi" w:eastAsia="Times New Roman" w:hAnsiTheme="minorHAnsi" w:cstheme="minorHAnsi"/>
          <w:sz w:val="22"/>
          <w:highlight w:val="yellow"/>
          <w:lang w:eastAsia="de-DE"/>
        </w:rPr>
        <w:t>Abgeordnete/r</w:t>
      </w:r>
      <w:r w:rsidRPr="00267DCF">
        <w:rPr>
          <w:rFonts w:asciiTheme="minorHAnsi" w:eastAsia="Times New Roman" w:hAnsiTheme="minorHAnsi" w:cstheme="minorHAnsi"/>
          <w:sz w:val="22"/>
          <w:highlight w:val="yellow"/>
          <w:lang w:eastAsia="de-DE"/>
        </w:rPr>
        <w:t>,</w:t>
      </w:r>
    </w:p>
    <w:p w14:paraId="64BA0FD9" w14:textId="7FD587B9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wir wenden uns als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Unternehmen der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Druckindustrie </w:t>
      </w:r>
      <w:r w:rsidR="00963722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und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Papierverarbeitung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mit großer Sorge an Sie hinsichtlich der aktuellen Entwicklungen zur EU-</w:t>
      </w:r>
      <w:r w:rsidR="00267DCF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Entwaldungsverordnung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(EUDR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). Derzeit herrscht 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>in unsere</w:t>
      </w:r>
      <w:r w:rsidR="00E74319">
        <w:rPr>
          <w:rFonts w:asciiTheme="minorHAnsi" w:eastAsia="Times New Roman" w:hAnsiTheme="minorHAnsi" w:cstheme="minorHAnsi"/>
          <w:sz w:val="22"/>
          <w:lang w:eastAsia="de-DE"/>
        </w:rPr>
        <w:t>n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Branche</w:t>
      </w:r>
      <w:r w:rsidR="00E74319">
        <w:rPr>
          <w:rFonts w:asciiTheme="minorHAnsi" w:eastAsia="Times New Roman" w:hAnsiTheme="minorHAnsi" w:cstheme="minorHAnsi"/>
          <w:sz w:val="22"/>
          <w:lang w:eastAsia="de-DE"/>
        </w:rPr>
        <w:t>n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>vollständige Rechts- und Planungsunsicherheit,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unter welchen Bedingungen wir unsere Produkte ab dem Jahresende verkaufen können.</w:t>
      </w:r>
    </w:p>
    <w:p w14:paraId="50FEF5A3" w14:textId="333C9DFB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Die von der EU-Kommission am 21. Oktober 2025 vorgelegten Änderungsvorschläge bleiben weit hinter den Erwartungen und den Bedürfnissen der Unternehmen zurück. </w:t>
      </w:r>
      <w:r w:rsidR="00434F0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Anders als noch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>Ende September durch die EU-Umweltkommissarin angekündigt</w:t>
      </w:r>
      <w:r w:rsidR="00434F0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, ist die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aus unserer Sicht dringend nötige Verschiebung um ein Jahr nunmehr offenbar plötzlich vom Tisch. Stattdessen ist 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nur </w:t>
      </w:r>
      <w:r w:rsidR="00434F0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noch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eine sechsmonatige Verschiebung für kleine Unternehmen und eine </w:t>
      </w:r>
      <w:r w:rsidR="009905A2">
        <w:rPr>
          <w:rFonts w:asciiTheme="minorHAnsi" w:eastAsia="Times New Roman" w:hAnsiTheme="minorHAnsi" w:cstheme="minorHAnsi"/>
          <w:sz w:val="22"/>
          <w:lang w:eastAsia="de-DE"/>
        </w:rPr>
        <w:t>sechs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>monatige Karenzzeit ohne Sanktionen für die übrigen Unternehmen vorgesehen.</w:t>
      </w:r>
    </w:p>
    <w:p w14:paraId="798FC87A" w14:textId="5A846E83" w:rsidR="00267DCF" w:rsidRPr="00963722" w:rsidRDefault="00267DCF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</w:pP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Eine solche Verschiebung reicht nicht aus, insbesondere da seitens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von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Kunden oftmals die Erwartung besteht, dass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alle Dienstleister und Lieferanten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zum 30.12.25 „EUDR-</w:t>
      </w:r>
      <w:proofErr w:type="spellStart"/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ready</w:t>
      </w:r>
      <w:proofErr w:type="spellEnd"/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“ sein sollen, um einheitliche Prozesse zu erreichen. Das geplante „Augen-zu-Drücken“ für ein halbes Jahr wird bei den Anforderungen, die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einige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Kunden stellen, nicht helfen.</w:t>
      </w:r>
    </w:p>
    <w:p w14:paraId="79AB7431" w14:textId="6F41A0AB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Angesichts der sehr kurzen Zeit bis zum Inkrafttreten der Verordnung zum Jahresende ist eine seriöse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Vorbereitung für unser Unternehmen kaum zu schaffen. </w:t>
      </w:r>
      <w:r w:rsidR="00267DCF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Die gesamte Wertschöpfungskette Druck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und </w:t>
      </w:r>
      <w:proofErr w:type="spellStart"/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Papierverabeitung</w:t>
      </w:r>
      <w:proofErr w:type="spellEnd"/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</w:t>
      </w:r>
      <w:r w:rsidR="00267DCF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benötigt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dringend mehr Zeit, um </w:t>
      </w:r>
      <w:r w:rsidR="00267DCF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sich </w:t>
      </w:r>
      <w:r w:rsidR="00434F03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insbesondere auch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auf die vorgeschlagenen inhaltlichen Änderungen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der EUDR vorzubereiten. </w:t>
      </w:r>
    </w:p>
    <w:p w14:paraId="1741F10D" w14:textId="06FEB93F" w:rsidR="00964738" w:rsidRPr="00CF7741" w:rsidRDefault="00434F03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>F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ür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uns als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Unternehmen ist die EUDR in ihrer Wirkung völlig unverhältnismäßig und nur mit enormem 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finanziellem und administrativem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>Aufwand umsetzbar. Daher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>müssen einige grundlegende Konstruktionsfehler der EUDR beseitigt werden.</w:t>
      </w:r>
    </w:p>
    <w:p w14:paraId="60224714" w14:textId="77777777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Unsere zentralen Anliegen:</w:t>
      </w:r>
    </w:p>
    <w:p w14:paraId="34E88EB0" w14:textId="36531742" w:rsidR="00267DCF" w:rsidRPr="00267DCF" w:rsidRDefault="006504B0" w:rsidP="00267DCF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300" w:lineRule="atLeast"/>
        <w:ind w:left="567" w:hanging="425"/>
        <w:rPr>
          <w:rFonts w:asciiTheme="minorHAnsi" w:eastAsia="Times New Roman" w:hAnsiTheme="minorHAnsi" w:cstheme="minorHAnsi"/>
          <w:sz w:val="22"/>
          <w:lang w:eastAsia="de-DE"/>
        </w:rPr>
      </w:pPr>
      <w:r w:rsidRPr="00267DCF">
        <w:rPr>
          <w:rFonts w:asciiTheme="minorHAnsi" w:eastAsia="Times New Roman" w:hAnsiTheme="minorHAnsi" w:cstheme="minorHAnsi"/>
          <w:b/>
          <w:bCs/>
          <w:sz w:val="22"/>
          <w:lang w:eastAsia="de-DE"/>
        </w:rPr>
        <w:t>Verbindliche Verschiebung um mindestens 12 Monate</w:t>
      </w:r>
      <w:r w:rsidRPr="00267DCF">
        <w:rPr>
          <w:rFonts w:asciiTheme="minorHAnsi" w:eastAsia="Times New Roman" w:hAnsiTheme="minorHAnsi" w:cstheme="minorHAnsi"/>
          <w:sz w:val="22"/>
          <w:lang w:eastAsia="de-DE"/>
        </w:rPr>
        <w:br/>
        <w:t xml:space="preserve">Wir benötigen dringend Planungssicherheit und ausreichend Zeit, um </w:t>
      </w:r>
      <w:r w:rsidR="00964738"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unsere </w:t>
      </w:r>
      <w:r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Prozesse und IT-Systeme an die </w:t>
      </w:r>
      <w:r w:rsidR="00964738"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angekündigten </w:t>
      </w:r>
      <w:r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neuen </w:t>
      </w:r>
      <w:r w:rsidR="00964738"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Regelungen </w:t>
      </w:r>
      <w:r w:rsidRPr="00267DCF">
        <w:rPr>
          <w:rFonts w:asciiTheme="minorHAnsi" w:eastAsia="Times New Roman" w:hAnsiTheme="minorHAnsi" w:cstheme="minorHAnsi"/>
          <w:sz w:val="22"/>
          <w:lang w:eastAsia="de-DE"/>
        </w:rPr>
        <w:t xml:space="preserve">anzupassen. Hierzu sind Abstimmungen mit unseren Papierlieferanten, Softwareanbietern und Kunden nötig. Die derzeitige Rechts- und Planungsunsicherheit </w:t>
      </w:r>
      <w:r w:rsidR="00964738" w:rsidRPr="00267DCF">
        <w:rPr>
          <w:rFonts w:asciiTheme="minorHAnsi" w:eastAsia="Times New Roman" w:hAnsiTheme="minorHAnsi" w:cstheme="minorHAnsi"/>
          <w:sz w:val="22"/>
          <w:lang w:eastAsia="de-DE"/>
        </w:rPr>
        <w:t>macht eine sinnvolle Vorbereitung in der Lieferkette aktuell unmöglich.</w:t>
      </w:r>
      <w:r w:rsidR="00F03A28" w:rsidRPr="00267DCF">
        <w:rPr>
          <w:rFonts w:asciiTheme="minorHAnsi" w:hAnsiTheme="minorHAnsi" w:cstheme="minorHAnsi"/>
          <w:sz w:val="22"/>
        </w:rPr>
        <w:t xml:space="preserve"> </w:t>
      </w:r>
      <w:r w:rsidR="00267DCF">
        <w:rPr>
          <w:rFonts w:asciiTheme="minorHAnsi" w:hAnsiTheme="minorHAnsi" w:cstheme="minorHAnsi"/>
          <w:sz w:val="22"/>
        </w:rPr>
        <w:br/>
      </w:r>
    </w:p>
    <w:p w14:paraId="0ED0154A" w14:textId="624DE881" w:rsidR="006504B0" w:rsidRPr="00CF7741" w:rsidRDefault="006504B0" w:rsidP="00267DCF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300" w:lineRule="atLeast"/>
        <w:ind w:left="567" w:hanging="425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lastRenderedPageBreak/>
        <w:t xml:space="preserve">Konzentration auf den </w:t>
      </w:r>
      <w:proofErr w:type="spellStart"/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Erstinverkehrbringer</w:t>
      </w:r>
      <w:proofErr w:type="spellEnd"/>
      <w:r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Den 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neuen 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>Ansatz der EU-Kommission, d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ie Sorgfaltspflichten 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>auf den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proofErr w:type="spellStart"/>
      <w:r w:rsidRPr="00CF7741">
        <w:rPr>
          <w:rFonts w:asciiTheme="minorHAnsi" w:eastAsia="Times New Roman" w:hAnsiTheme="minorHAnsi" w:cstheme="minorHAnsi"/>
          <w:sz w:val="22"/>
          <w:lang w:eastAsia="de-DE"/>
        </w:rPr>
        <w:t>Erstinverkehrbringer</w:t>
      </w:r>
      <w:proofErr w:type="spellEnd"/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zu konzentrieren, unterstützen wir.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Eine hundertfache Wiederholung derselben Sorgfaltserklärung entlang der Lieferkette führt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nur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zu unnötiger Bürokratie und belastet insbesondere </w:t>
      </w:r>
      <w:r w:rsidR="00E74319">
        <w:rPr>
          <w:rFonts w:asciiTheme="minorHAnsi" w:eastAsia="Times New Roman" w:hAnsiTheme="minorHAnsi" w:cstheme="minorHAnsi"/>
          <w:sz w:val="22"/>
          <w:lang w:eastAsia="de-DE"/>
        </w:rPr>
        <w:t>KMU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ohne zusätzlichen Nutzen für den Waldschutz.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</w:t>
      </w:r>
      <w:r w:rsidR="008D3773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Druckereien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 und Papier verarbeitende Unternehmen</w:t>
      </w:r>
      <w:r w:rsidR="008D3773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, die ihr Papier innerhalb der EU einkaufe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n, müssen sich darauf verlassen können, dass die Sorgfaltspflichten 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durch den Vorlieferanten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>eingehalten worden sind.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</w:p>
    <w:p w14:paraId="5FCD813C" w14:textId="6D28978B" w:rsidR="006504B0" w:rsidRPr="00CF7741" w:rsidRDefault="006504B0" w:rsidP="00267DCF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300" w:lineRule="atLeast"/>
        <w:ind w:left="567" w:hanging="425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Einführung einer Null-Risiko-Kategorie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br/>
        <w:t>Für Produkte aus Ländern mit vernachlässigbarem Entwaldungsrisiko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>, wie etwa Deutschland,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müssen die Sorgfalts- und Geolokalisierungspflichten entfallen. Dies ist notwendig, um den risikobasierten Ansatz der EUDR konsequent umzusetzen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und Unternehmen von Bürokratie zu entlasten.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 Es macht keinen Sinn, Daten aufwendig zu sammeln, weiterzugeben und aufzubewahren, ohne dass tatsächlich ein relevantes Risiko der Waldschädigung besteht.</w:t>
      </w:r>
      <w:r w:rsidR="00964738"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</w:p>
    <w:p w14:paraId="69E3D454" w14:textId="02FA398D" w:rsidR="006504B0" w:rsidRPr="00CF7741" w:rsidRDefault="00964738" w:rsidP="00267DCF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300" w:lineRule="atLeast"/>
        <w:ind w:left="567" w:hanging="425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b/>
          <w:bCs/>
          <w:sz w:val="22"/>
          <w:lang w:eastAsia="de-DE"/>
        </w:rPr>
        <w:t>Keine Verlagerung der Datenlast auf Unternehmen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Um die Rückverfolgbarkeit bis zum entwaldungsfreien Rohstoff Holz zu gewährleisten, sieht der </w:t>
      </w:r>
      <w:r w:rsidR="00124AC4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neue </w:t>
      </w:r>
      <w:r w:rsidR="009905A2">
        <w:rPr>
          <w:rFonts w:asciiTheme="minorHAnsi" w:eastAsia="Times New Roman" w:hAnsiTheme="minorHAnsi" w:cstheme="minorHAnsi"/>
          <w:sz w:val="22"/>
          <w:lang w:eastAsia="de-DE"/>
        </w:rPr>
        <w:t>Kommissionse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ntwurf weiterhin vor, dass alle </w:t>
      </w:r>
      <w:r w:rsidR="00E74319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Unternehmen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unabhängig von ihrer Größe Referenznummern und Verifikationsnummern sammeln und weitergeben müssen. Dies könnte im schlimmsten Fall bedeuten, dass für Papierprodukte auf Grund der langen und komplexen </w:t>
      </w:r>
      <w:r w:rsidR="009905A2">
        <w:rPr>
          <w:rFonts w:asciiTheme="minorHAnsi" w:eastAsia="Times New Roman" w:hAnsiTheme="minorHAnsi" w:cstheme="minorHAnsi"/>
          <w:sz w:val="22"/>
          <w:lang w:eastAsia="de-DE"/>
        </w:rPr>
        <w:t xml:space="preserve">nachgelagerten </w:t>
      </w:r>
      <w:r w:rsidR="008D3773"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Lieferkette, in der Holz aus den verschiedensten Quellen vermischt wird, tausende Nummern vom Forstbetrieb bis zum Handel weitergegeben werden müssen. Eine solche Datenmenge wäre kaum zu </w:t>
      </w:r>
      <w:r w:rsidR="008D3773"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>bewältigen</w:t>
      </w:r>
      <w:r w:rsidR="00963722" w:rsidRPr="00963722">
        <w:rPr>
          <w:rFonts w:asciiTheme="minorHAnsi" w:eastAsia="Times New Roman" w:hAnsiTheme="minorHAnsi" w:cstheme="minorHAnsi"/>
          <w:strike/>
          <w:color w:val="000000" w:themeColor="text1"/>
          <w:sz w:val="22"/>
          <w:lang w:eastAsia="de-DE"/>
        </w:rPr>
        <w:t xml:space="preserve">. </w:t>
      </w:r>
      <w:r w:rsidRPr="00963722">
        <w:rPr>
          <w:rFonts w:asciiTheme="minorHAnsi" w:eastAsia="Times New Roman" w:hAnsiTheme="minorHAnsi" w:cstheme="minorHAnsi"/>
          <w:color w:val="000000" w:themeColor="text1"/>
          <w:sz w:val="22"/>
          <w:lang w:eastAsia="de-DE"/>
        </w:rPr>
        <w:t xml:space="preserve">Die Entlastung des EU-Informationssystems darf nicht zu einer Übertragung der technischen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t xml:space="preserve">und administrativen Lasten auf die Unternehmen führen. Eine solche „Verschlimmbesserung“ ist nicht akzeptabel. 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</w:p>
    <w:p w14:paraId="21968A75" w14:textId="6CE67151" w:rsidR="008D3773" w:rsidRPr="007F7463" w:rsidRDefault="00124AC4" w:rsidP="008D3773">
      <w:pPr>
        <w:rPr>
          <w:rFonts w:asciiTheme="minorHAnsi" w:hAnsiTheme="minorHAnsi" w:cstheme="minorHAnsi"/>
          <w:sz w:val="22"/>
        </w:rPr>
      </w:pPr>
      <w:r w:rsidRPr="007F7463">
        <w:rPr>
          <w:rFonts w:asciiTheme="minorHAnsi" w:eastAsia="Times New Roman" w:hAnsiTheme="minorHAnsi" w:cstheme="minorHAnsi"/>
          <w:sz w:val="22"/>
          <w:lang w:eastAsia="de-DE"/>
        </w:rPr>
        <w:t>Die Zeit drängt, w</w:t>
      </w:r>
      <w:r w:rsidR="006504B0" w:rsidRPr="007F7463">
        <w:rPr>
          <w:rFonts w:asciiTheme="minorHAnsi" w:eastAsia="Times New Roman" w:hAnsiTheme="minorHAnsi" w:cstheme="minorHAnsi"/>
          <w:sz w:val="22"/>
          <w:lang w:eastAsia="de-DE"/>
        </w:rPr>
        <w:t>ir appellieren daher eindringlich an Sie, sich für eine</w:t>
      </w:r>
      <w:r w:rsidRPr="007F7463">
        <w:rPr>
          <w:rFonts w:asciiTheme="minorHAnsi" w:eastAsia="Times New Roman" w:hAnsiTheme="minorHAnsi" w:cstheme="minorHAnsi"/>
          <w:sz w:val="22"/>
          <w:lang w:eastAsia="de-DE"/>
        </w:rPr>
        <w:t>n Aufschub und eine</w:t>
      </w:r>
      <w:r w:rsidR="006504B0" w:rsidRPr="007F7463">
        <w:rPr>
          <w:rFonts w:asciiTheme="minorHAnsi" w:eastAsia="Times New Roman" w:hAnsiTheme="minorHAnsi" w:cstheme="minorHAnsi"/>
          <w:sz w:val="22"/>
          <w:lang w:eastAsia="de-DE"/>
        </w:rPr>
        <w:t xml:space="preserve"> praxisnahe, verhältnismäßige und rechtssichere Ausgestaltung der EUDR einzusetzen.</w:t>
      </w:r>
      <w:r w:rsidR="007F7463">
        <w:rPr>
          <w:rFonts w:asciiTheme="minorHAnsi" w:hAnsiTheme="minorHAnsi" w:cstheme="minorHAnsi"/>
          <w:sz w:val="22"/>
        </w:rPr>
        <w:t xml:space="preserve"> Ohne eine solche Entlastung der Unternehmen</w:t>
      </w:r>
      <w:r w:rsidR="007F7463" w:rsidRPr="007F7463">
        <w:rPr>
          <w:rFonts w:asciiTheme="minorHAnsi" w:hAnsiTheme="minorHAnsi" w:cstheme="minorHAnsi"/>
          <w:sz w:val="22"/>
        </w:rPr>
        <w:t xml:space="preserve"> würden Sie Ihrem eigenen Anspruch, die Bürokratie </w:t>
      </w:r>
      <w:r w:rsidR="007F7463">
        <w:rPr>
          <w:rFonts w:asciiTheme="minorHAnsi" w:hAnsiTheme="minorHAnsi" w:cstheme="minorHAnsi"/>
          <w:sz w:val="22"/>
        </w:rPr>
        <w:t xml:space="preserve">nachhaltig </w:t>
      </w:r>
      <w:r w:rsidR="007F7463" w:rsidRPr="007F7463">
        <w:rPr>
          <w:rFonts w:asciiTheme="minorHAnsi" w:hAnsiTheme="minorHAnsi" w:cstheme="minorHAnsi"/>
          <w:sz w:val="22"/>
        </w:rPr>
        <w:t>zu verringern, nicht gerecht.</w:t>
      </w:r>
    </w:p>
    <w:p w14:paraId="0C854231" w14:textId="4A7E40A2" w:rsidR="00434F03" w:rsidRPr="00CF7741" w:rsidRDefault="00963722" w:rsidP="006504B0">
      <w:pPr>
        <w:spacing w:before="100" w:beforeAutospacing="1" w:after="100" w:afterAutospacing="1" w:line="300" w:lineRule="atLeast"/>
        <w:rPr>
          <w:rFonts w:asciiTheme="minorHAnsi" w:hAnsiTheme="minorHAnsi" w:cstheme="minorHAnsi"/>
          <w:sz w:val="22"/>
        </w:rPr>
      </w:pPr>
      <w:r w:rsidRPr="00963722">
        <w:rPr>
          <w:rFonts w:asciiTheme="minorHAnsi" w:hAnsiTheme="minorHAnsi" w:cstheme="minorHAnsi"/>
          <w:color w:val="000000" w:themeColor="text1"/>
          <w:sz w:val="22"/>
        </w:rPr>
        <w:t xml:space="preserve">Die </w:t>
      </w:r>
      <w:r w:rsidR="00E74319" w:rsidRPr="00963722">
        <w:rPr>
          <w:rFonts w:asciiTheme="minorHAnsi" w:hAnsiTheme="minorHAnsi" w:cstheme="minorHAnsi"/>
          <w:color w:val="000000" w:themeColor="text1"/>
          <w:sz w:val="22"/>
        </w:rPr>
        <w:t>Druckindustrie und Papierverarbeitung sind bereit</w:t>
      </w:r>
      <w:r w:rsidR="00434F03" w:rsidRPr="00963722">
        <w:rPr>
          <w:rFonts w:asciiTheme="minorHAnsi" w:hAnsiTheme="minorHAnsi" w:cstheme="minorHAnsi"/>
          <w:color w:val="000000" w:themeColor="text1"/>
          <w:sz w:val="22"/>
        </w:rPr>
        <w:t xml:space="preserve">, ihren Beitrag zum Waldschutz zu leisten – dies muss jedoch in einer Form </w:t>
      </w:r>
      <w:r w:rsidR="00434F03" w:rsidRPr="00CF7741">
        <w:rPr>
          <w:rFonts w:asciiTheme="minorHAnsi" w:hAnsiTheme="minorHAnsi" w:cstheme="minorHAnsi"/>
          <w:sz w:val="22"/>
        </w:rPr>
        <w:t>geschehen, die für Unternehmen umsetzbar ist.</w:t>
      </w:r>
    </w:p>
    <w:p w14:paraId="4630A08E" w14:textId="6E8557C6" w:rsidR="006504B0" w:rsidRPr="00CF7741" w:rsidRDefault="006504B0" w:rsidP="006504B0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>Für einen weiterführenden Dialog stehen wir jederzeit zur Verfügung und danken Ihnen für Ihre Unterstützung.</w:t>
      </w:r>
    </w:p>
    <w:p w14:paraId="2F0E382A" w14:textId="67CE561A" w:rsidR="00E30EDF" w:rsidRPr="00E74319" w:rsidRDefault="006504B0" w:rsidP="00E74319">
      <w:pPr>
        <w:spacing w:before="100" w:beforeAutospacing="1" w:after="100" w:afterAutospacing="1" w:line="300" w:lineRule="atLeast"/>
        <w:rPr>
          <w:rFonts w:asciiTheme="minorHAnsi" w:eastAsia="Times New Roman" w:hAnsiTheme="minorHAnsi" w:cstheme="minorHAnsi"/>
          <w:sz w:val="22"/>
          <w:lang w:eastAsia="de-DE"/>
        </w:rPr>
      </w:pPr>
      <w:r w:rsidRPr="00CF7741">
        <w:rPr>
          <w:rFonts w:asciiTheme="minorHAnsi" w:eastAsia="Times New Roman" w:hAnsiTheme="minorHAnsi" w:cstheme="minorHAnsi"/>
          <w:sz w:val="22"/>
          <w:lang w:eastAsia="de-DE"/>
        </w:rPr>
        <w:t>Mit freundlichen Grüßen</w:t>
      </w:r>
      <w:r w:rsidRPr="00CF7741">
        <w:rPr>
          <w:rFonts w:asciiTheme="minorHAnsi" w:eastAsia="Times New Roman" w:hAnsiTheme="minorHAnsi" w:cstheme="minorHAnsi"/>
          <w:sz w:val="22"/>
          <w:lang w:eastAsia="de-DE"/>
        </w:rPr>
        <w:br/>
      </w:r>
      <w:r w:rsidRPr="00724E7C">
        <w:rPr>
          <w:rFonts w:asciiTheme="minorHAnsi" w:eastAsia="Times New Roman" w:hAnsiTheme="minorHAnsi" w:cstheme="minorHAnsi"/>
          <w:sz w:val="22"/>
          <w:highlight w:val="yellow"/>
          <w:lang w:eastAsia="de-DE"/>
        </w:rPr>
        <w:t>[Name, Position, Unternehmen]</w:t>
      </w:r>
      <w:r w:rsidRPr="00724E7C">
        <w:rPr>
          <w:rFonts w:asciiTheme="minorHAnsi" w:eastAsia="Times New Roman" w:hAnsiTheme="minorHAnsi" w:cstheme="minorHAnsi"/>
          <w:sz w:val="22"/>
          <w:highlight w:val="yellow"/>
          <w:lang w:eastAsia="de-DE"/>
        </w:rPr>
        <w:br/>
        <w:t>[Kontaktinformationen]</w:t>
      </w:r>
    </w:p>
    <w:sectPr w:rsidR="00E30EDF" w:rsidRPr="00E743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Interphases Pro Light">
    <w:altName w:val="Calibri"/>
    <w:charset w:val="00"/>
    <w:family w:val="swiss"/>
    <w:pitch w:val="variable"/>
    <w:sig w:usb0="A000027F" w:usb1="100020D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 Interphases Pro Medium">
    <w:altName w:val="Calibri"/>
    <w:charset w:val="00"/>
    <w:family w:val="swiss"/>
    <w:pitch w:val="variable"/>
    <w:sig w:usb0="A000027F" w:usb1="100020D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C5208"/>
    <w:multiLevelType w:val="multilevel"/>
    <w:tmpl w:val="4D820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69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24"/>
    <w:rsid w:val="00124AC4"/>
    <w:rsid w:val="00267DCF"/>
    <w:rsid w:val="00370600"/>
    <w:rsid w:val="00434F03"/>
    <w:rsid w:val="0045437D"/>
    <w:rsid w:val="006504B0"/>
    <w:rsid w:val="00663324"/>
    <w:rsid w:val="00724E7C"/>
    <w:rsid w:val="007F7463"/>
    <w:rsid w:val="0085101B"/>
    <w:rsid w:val="008D3773"/>
    <w:rsid w:val="00963722"/>
    <w:rsid w:val="00964738"/>
    <w:rsid w:val="009905A2"/>
    <w:rsid w:val="00B93150"/>
    <w:rsid w:val="00CF7741"/>
    <w:rsid w:val="00E30EDF"/>
    <w:rsid w:val="00E74319"/>
    <w:rsid w:val="00EF3825"/>
    <w:rsid w:val="00F0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C5EA"/>
  <w15:chartTrackingRefBased/>
  <w15:docId w15:val="{6BC29F09-2280-458C-9526-527B5350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T Interphases Pro Light" w:eastAsiaTheme="minorHAnsi" w:hAnsi="TT Interphases Pro Light" w:cstheme="minorBidi"/>
        <w:sz w:val="19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3825"/>
  </w:style>
  <w:style w:type="paragraph" w:styleId="berschrift1">
    <w:name w:val="heading 1"/>
    <w:basedOn w:val="Standard"/>
    <w:next w:val="Standard"/>
    <w:link w:val="berschrift1Zchn"/>
    <w:uiPriority w:val="9"/>
    <w:qFormat/>
    <w:rsid w:val="00EF3825"/>
    <w:pPr>
      <w:keepNext/>
      <w:keepLines/>
      <w:spacing w:before="240" w:after="0"/>
      <w:outlineLvl w:val="0"/>
    </w:pPr>
    <w:rPr>
      <w:rFonts w:ascii="TT Interphases Pro Medium" w:eastAsiaTheme="majorEastAsia" w:hAnsi="TT Interphases Pro Medium" w:cstheme="majorBidi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F3825"/>
    <w:rPr>
      <w:rFonts w:ascii="TT Interphases Pro Medium" w:eastAsiaTheme="majorEastAsia" w:hAnsi="TT Interphases Pro Medium" w:cstheme="majorBidi"/>
      <w:szCs w:val="32"/>
    </w:rPr>
  </w:style>
  <w:style w:type="character" w:styleId="Hyperlink">
    <w:name w:val="Hyperlink"/>
    <w:basedOn w:val="Absatz-Standardschriftart"/>
    <w:uiPriority w:val="99"/>
    <w:unhideWhenUsed/>
    <w:rsid w:val="0085101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1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uroparl.europa.eu/meps/de/search/advanced?name=&amp;euPoliticalGroupBodyRefNum=7018&amp;countryCode=DE&amp;bodyType=ALL" TargetMode="External"/><Relationship Id="rId5" Type="http://schemas.openxmlformats.org/officeDocument/2006/relationships/hyperlink" Target="https://www.bundestag.de/abgeordne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4857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Dresbach, Sabine (BVDM)</dc:creator>
  <cp:keywords/>
  <dc:description/>
  <cp:lastModifiedBy>Melanie Erlewein</cp:lastModifiedBy>
  <cp:revision>3</cp:revision>
  <dcterms:created xsi:type="dcterms:W3CDTF">2025-10-29T11:15:00Z</dcterms:created>
  <dcterms:modified xsi:type="dcterms:W3CDTF">2025-10-29T11:20:00Z</dcterms:modified>
</cp:coreProperties>
</file>